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7" w:rsidRDefault="000D5827" w:rsidP="00DB2CAC">
      <w:pPr>
        <w:tabs>
          <w:tab w:val="left" w:pos="1755"/>
        </w:tabs>
      </w:pPr>
      <w:bookmarkStart w:id="0" w:name="_GoBack"/>
      <w:bookmarkEnd w:id="0"/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Дайджест Министерства энергетики Московской области </w:t>
      </w:r>
    </w:p>
    <w:p w:rsidR="007D124E" w:rsidRPr="0023070E" w:rsidRDefault="007D124E" w:rsidP="007D124E">
      <w:pPr>
        <w:jc w:val="center"/>
        <w:rPr>
          <w:rFonts w:eastAsia="Times New Roman" w:cs="Times New Roman"/>
          <w:b/>
          <w:color w:val="222222"/>
          <w:kern w:val="36"/>
          <w:szCs w:val="28"/>
          <w:lang w:eastAsia="ru-RU"/>
        </w:rPr>
      </w:pP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за период с </w:t>
      </w:r>
      <w:r w:rsidR="00887881">
        <w:rPr>
          <w:rFonts w:eastAsia="Times New Roman" w:cs="Times New Roman"/>
          <w:b/>
          <w:color w:val="222222"/>
          <w:kern w:val="36"/>
          <w:szCs w:val="28"/>
          <w:lang w:eastAsia="ru-RU"/>
        </w:rPr>
        <w:t>1-5 августа</w:t>
      </w:r>
      <w:r w:rsidRPr="0023070E">
        <w:rPr>
          <w:rFonts w:eastAsia="Times New Roman" w:cs="Times New Roman"/>
          <w:b/>
          <w:color w:val="222222"/>
          <w:kern w:val="36"/>
          <w:szCs w:val="28"/>
          <w:lang w:eastAsia="ru-RU"/>
        </w:rPr>
        <w:t xml:space="preserve"> 2016</w:t>
      </w:r>
    </w:p>
    <w:p w:rsidR="007D124E" w:rsidRPr="00775BDE" w:rsidRDefault="007D124E" w:rsidP="007D124E">
      <w:pPr>
        <w:ind w:firstLine="851"/>
        <w:jc w:val="both"/>
        <w:rPr>
          <w:rFonts w:eastAsia="Times New Roman" w:cs="Times New Roman"/>
          <w:b/>
          <w:color w:val="222222"/>
          <w:kern w:val="36"/>
          <w:sz w:val="24"/>
          <w:szCs w:val="24"/>
          <w:lang w:eastAsia="ru-RU"/>
        </w:rPr>
      </w:pPr>
    </w:p>
    <w:p w:rsidR="00887881" w:rsidRPr="00887881" w:rsidRDefault="00887881" w:rsidP="00887881">
      <w:pPr>
        <w:shd w:val="clear" w:color="auto" w:fill="FFFFFF"/>
        <w:spacing w:line="240" w:lineRule="auto"/>
        <w:ind w:firstLine="851"/>
        <w:jc w:val="center"/>
        <w:textAlignment w:val="baseline"/>
        <w:outlineLvl w:val="0"/>
        <w:rPr>
          <w:rFonts w:eastAsia="Times New Roman" w:cs="Times New Roman"/>
          <w:b/>
          <w:color w:val="222222"/>
          <w:szCs w:val="28"/>
          <w:lang w:eastAsia="ru-RU"/>
        </w:rPr>
      </w:pPr>
      <w:r w:rsidRPr="00887881">
        <w:rPr>
          <w:rFonts w:eastAsia="Times New Roman" w:cs="Times New Roman"/>
          <w:b/>
          <w:color w:val="222222"/>
          <w:kern w:val="36"/>
          <w:szCs w:val="28"/>
          <w:lang w:eastAsia="ru-RU"/>
        </w:rPr>
        <w:t>5</w:t>
      </w:r>
      <w:r w:rsidRPr="00887881">
        <w:rPr>
          <w:rFonts w:eastAsia="Times New Roman" w:cs="Times New Roman"/>
          <w:b/>
          <w:color w:val="222222"/>
          <w:szCs w:val="28"/>
          <w:lang w:eastAsia="ru-RU"/>
        </w:rPr>
        <w:t xml:space="preserve"> современных автозаправочных комплексов построено в Подмосковье с начала 2016 года</w:t>
      </w:r>
    </w:p>
    <w:p w:rsidR="00887881" w:rsidRPr="00887881" w:rsidRDefault="00887881" w:rsidP="00887881">
      <w:pPr>
        <w:shd w:val="clear" w:color="auto" w:fill="FFFFFF"/>
        <w:spacing w:line="240" w:lineRule="auto"/>
        <w:ind w:firstLine="851"/>
        <w:jc w:val="both"/>
        <w:textAlignment w:val="baseline"/>
        <w:outlineLvl w:val="0"/>
        <w:rPr>
          <w:rFonts w:eastAsia="Times New Roman" w:cs="Times New Roman"/>
          <w:color w:val="222222"/>
          <w:kern w:val="36"/>
          <w:szCs w:val="28"/>
          <w:lang w:eastAsia="ru-RU"/>
        </w:rPr>
      </w:pP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 xml:space="preserve">В </w:t>
      </w:r>
      <w:r>
        <w:rPr>
          <w:rFonts w:eastAsia="Times New Roman" w:cs="Times New Roman"/>
          <w:color w:val="222222"/>
          <w:szCs w:val="28"/>
          <w:lang w:eastAsia="ru-RU"/>
        </w:rPr>
        <w:t>Министерстве энергетики Московской области</w:t>
      </w:r>
      <w:r w:rsidRPr="00887881">
        <w:rPr>
          <w:rFonts w:eastAsia="Times New Roman" w:cs="Times New Roman"/>
          <w:color w:val="222222"/>
          <w:szCs w:val="28"/>
          <w:lang w:eastAsia="ru-RU"/>
        </w:rPr>
        <w:t xml:space="preserve"> обсудили строительство объектов топливозаправочного комплекса в первом полугодии 2016 года в рамках соответствующей подпрограммы Государственной программы Московской области «Энергоэффективность и развитие энергетики».</w:t>
      </w: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>За отчетный период было построено 5 современных автозаправочных комплексов в Подольске, а также Раменском, Луховицком и Ногинском районах.</w:t>
      </w: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>Также, были уточнены места размещения электрозаправочных станций на территории Дмитровского, Красногорского, Истринского районов и городских округах Химки и Домодедово. </w:t>
      </w:r>
    </w:p>
    <w:p w:rsid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>«Всего же в 2016 году запланировано строительство 28 объектов ТЗК, а именно 18 автозаправочных станций, 4 многотопливных автозаправочных комплекса и 6 электрозаправочных станций. Разместить указанные объекты планируется на территории 19 муниципальных образований Подмосковья – Одинцовского, Дмитровского, Подольского, Раменского, Волоколамского, Воскресенского, Рузского, Сергиево-Посадского, Шаховского, Мытищинского, Люберецкого, Ногинского, Чеховского, Егорьевского, Луховицкого районов и городских округах Балашиха, Домодедово, Подольск, Бронницы», – отметил министр энергетики Московской области Леонид Неганов.</w:t>
      </w: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</w:p>
    <w:p w:rsidR="00887881" w:rsidRPr="00887881" w:rsidRDefault="00887881" w:rsidP="00887881">
      <w:pPr>
        <w:pStyle w:val="1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887881">
        <w:rPr>
          <w:bCs w:val="0"/>
          <w:color w:val="222222"/>
          <w:sz w:val="28"/>
          <w:szCs w:val="28"/>
        </w:rPr>
        <w:t>ОАО «СО ЕЭС» Московское РДУ согласовало Схему и программу развития электроэнергетики Подмосковья не период 2017-2021 годов</w:t>
      </w:r>
    </w:p>
    <w:p w:rsidR="00887881" w:rsidRPr="00887881" w:rsidRDefault="00887881" w:rsidP="00887881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887881" w:rsidRP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Проект Схемы и программы перспективного развития электроэнергетики (Схема)  Московской области на период 2017-2021 годов согласован Филиалом ОАО «СО ЕЭС» Московское РДУ.</w:t>
      </w:r>
    </w:p>
    <w:p w:rsidR="00887881" w:rsidRP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Проект Схемы подготовлен Министерством энергетики Московской области.</w:t>
      </w:r>
    </w:p>
    <w:p w:rsidR="00887881" w:rsidRP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В период 2017-2021 годов мероприятиями  Схемы предусматривается ввод в эксплуатацию 16479 МВА трансформаторной мощности и 790 км линий электропередач на объектах электросетевого хозяйства напряжением 110 (35) кВ и выше. Общий объем инвестиций – 108 млрд руб.</w:t>
      </w:r>
    </w:p>
    <w:p w:rsidR="00887881" w:rsidRP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Схема – это организационно-технический документ, определяющий перечень решений и мероприятий по развитию электроэнергетики региона. </w:t>
      </w:r>
    </w:p>
    <w:p w:rsidR="00887881" w:rsidRP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 xml:space="preserve">Министр энергетики Московской области Леонид Неганов отметил, что принятие Схемы позволяет создать эффективную и сбалансированную энергетическую инфраструктуру и сформировать благоприятные условия для привлечения инвестиций. Таким образом, документ является основой для утверждения инвестиционных проектов в области электроэнергетики. Схема </w:t>
      </w:r>
      <w:r w:rsidRPr="00887881">
        <w:rPr>
          <w:color w:val="222222"/>
          <w:sz w:val="28"/>
          <w:szCs w:val="28"/>
        </w:rPr>
        <w:lastRenderedPageBreak/>
        <w:t>разрабатывается на пятилетний период, и каждый год актуализируется с учетом динамики спроса на электрическую мощность. </w:t>
      </w:r>
    </w:p>
    <w:p w:rsidR="00887881" w:rsidRP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Областным минэнерго подготовлен проект Постановления Губернатора Московской области об утверждении Схемы. В настоящее время указанный проект направлен на согласование в установленном порядке.</w:t>
      </w:r>
    </w:p>
    <w:p w:rsid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Ознакомиться со Схемой и программой перспективного развития электроэнергетики Московской области на период 2017-2021 годов можно</w:t>
      </w:r>
      <w:r w:rsidRPr="00887881">
        <w:rPr>
          <w:rStyle w:val="apple-converted-space"/>
          <w:color w:val="222222"/>
          <w:sz w:val="28"/>
          <w:szCs w:val="28"/>
        </w:rPr>
        <w:t> </w:t>
      </w:r>
      <w:r w:rsidRPr="00887881">
        <w:rPr>
          <w:color w:val="222222"/>
          <w:sz w:val="28"/>
          <w:szCs w:val="28"/>
        </w:rPr>
        <w:t xml:space="preserve">на сайте </w:t>
      </w:r>
      <w:hyperlink r:id="rId8" w:history="1">
        <w:r w:rsidRPr="00887881">
          <w:rPr>
            <w:rStyle w:val="af1"/>
            <w:sz w:val="28"/>
            <w:szCs w:val="28"/>
          </w:rPr>
          <w:t>http://minenergo.mosreg.ru/</w:t>
        </w:r>
      </w:hyperlink>
      <w:r w:rsidRPr="00887881">
        <w:rPr>
          <w:color w:val="222222"/>
          <w:sz w:val="28"/>
          <w:szCs w:val="28"/>
        </w:rPr>
        <w:t xml:space="preserve"> в разделе Документы – Нормативные правовые акты – Антикоррупционная экспертиза.</w:t>
      </w:r>
    </w:p>
    <w:p w:rsidR="00887881" w:rsidRP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887881" w:rsidRPr="00887881" w:rsidRDefault="00887881" w:rsidP="00887881">
      <w:pPr>
        <w:pStyle w:val="1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887881">
        <w:rPr>
          <w:bCs w:val="0"/>
          <w:color w:val="222222"/>
          <w:sz w:val="28"/>
          <w:szCs w:val="28"/>
        </w:rPr>
        <w:t>Более 30% закрытых для присоединения газораспределительных станций модернизированы за год в Подмосковье</w:t>
      </w:r>
    </w:p>
    <w:p w:rsidR="00887881" w:rsidRPr="00887881" w:rsidRDefault="00887881" w:rsidP="00887881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Министерство энергетики Московской области и специалисты «Газпром Трансгаз Москва» в рамках реализации инвестиционных программ провели технические мероприятия на 18 закрытых для присоединения газораспределительных станций Подмосковья, которые позволили обеспечить дополнительную подачу природного газа в общей сложности в пределах 150 тыс. кубометров в час. Для примера: указанный объем природного газа можно сравнить с потреблением  города Истра или пяти сельскохозяйственных комплексов масштаба ООО «Луховицкие овощи» – одного из крупнейших инвестпроектов в Подмосковье.</w:t>
      </w: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Улучшения качества газоснабжения отразились на жителях и предприятиях Солнечногорского и Клинского районов, где была проведена модернизация КГМО «Конаково», а так же в Орехово-Зуевском, Дмитровском, Наро-Фоминском районах и в городах Бронницы, Сходня и Электрогорск.</w:t>
      </w: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Данная работа проведена в рамках договора о газификации Московской области между компанией и Правительством Московской области, подписанном в марте 2015 года. </w:t>
      </w: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Условия договора предусматривают реализацию  68 мероприятий, направленных на строительство и реконструкцию магистральных газопроводов, газопроводов-отводов, газораспределительных станций и газораспределительных сетей.</w:t>
      </w: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В числе мероприятий реконструкция 32 и строительство 12 газораспределительных станций, реконструкция 4 участков кольцевых газопроводов Московской области и реконструкция 3 контрольно-распределительных пунктов и 17 газопроводов-отводов.</w:t>
      </w:r>
    </w:p>
    <w:p w:rsid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«Доступность услуги газификации для реализация крупных инвестиционных проектов и ее доступность для жителей Подмосковья в значительной степени зависит от возможностей газотранспортной системы. Повышение качества жизни и инвестиционной привлекательности Московской области являются одними из стратегических направлений работы Правительства Московской области», – отметил министр энергетики Московской области Леонид  Неганов.</w:t>
      </w: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887881" w:rsidRPr="00887881" w:rsidRDefault="00887881" w:rsidP="00887881">
      <w:pPr>
        <w:pStyle w:val="1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 w:val="0"/>
          <w:color w:val="222222"/>
          <w:sz w:val="28"/>
          <w:szCs w:val="28"/>
        </w:rPr>
      </w:pPr>
      <w:r w:rsidRPr="00887881">
        <w:rPr>
          <w:bCs w:val="0"/>
          <w:color w:val="222222"/>
          <w:sz w:val="28"/>
          <w:szCs w:val="28"/>
        </w:rPr>
        <w:t>Порядка 6 тыс. домов в Подмосковье находятся в опасной близости к газопроводам</w:t>
      </w:r>
    </w:p>
    <w:p w:rsidR="00887881" w:rsidRPr="00887881" w:rsidRDefault="00887881" w:rsidP="00887881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bCs w:val="0"/>
          <w:color w:val="222222"/>
          <w:sz w:val="28"/>
          <w:szCs w:val="28"/>
        </w:rPr>
      </w:pP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lastRenderedPageBreak/>
        <w:t>Министр энергетики Московской области Леонид Неганов принял участие во встрече представителей компании «Газпром трансгаз Москва» и дачников из СНТ в Хотькове Сергиево-Посадского района по проблеме сноса домов из-за расширения газораспределительной станции.</w:t>
      </w: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«Около 6 тысяч жилых домов в Подмосковье находятся в опасной близости к газопроводам. Речь идет о тех местах, где люди постоянно проживают, которые расположены в опасном приближении к опасным производственным объектам. «Газпром» имеет 6 тысяч таких строений в Подмосковье, это не объекты газоснабжения, а шесть тысяч домов, которые имеют опасное приближение к газопроводам», – сказал Леонид Неганов.</w:t>
      </w:r>
    </w:p>
    <w:p w:rsid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887881">
        <w:rPr>
          <w:color w:val="222222"/>
          <w:sz w:val="28"/>
          <w:szCs w:val="28"/>
        </w:rPr>
        <w:t>Напомним, что конфликтная ситуация сложилась между дочерним подразделением Газпрома – компанией «Газпром трансгаз Москва» и дачниками из СНТ в городском поселении Хотьково в Сергиево-Посадском районе. Компания «Газпром трансгаз Москва» обратилась в суд с иском, требуя снести ряд домов в СНТ, поскольку из-за увеличения мощности местной газораспределительной станции дачи попадают в зону, где размещение построек запрещено законом. Собственникам попавших в данную зону домов предложили снести строения и освободить территорию самостоятельно. Глава Подмосковья Андрей Воробьев поручил провести встречу с членами садового товарищества и представителями компании, чтобы найти решение вопроса со сносом домов. </w:t>
      </w: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/>
          <w:color w:val="222222"/>
          <w:kern w:val="36"/>
          <w:sz w:val="28"/>
          <w:szCs w:val="28"/>
        </w:rPr>
      </w:pPr>
      <w:r w:rsidRPr="00887881">
        <w:rPr>
          <w:b/>
          <w:color w:val="222222"/>
          <w:kern w:val="36"/>
          <w:sz w:val="28"/>
          <w:szCs w:val="28"/>
        </w:rPr>
        <w:t>В 11 военных городках Подмосковья установят новое энергоэффективное уличное освещение в 2016 году</w:t>
      </w:r>
    </w:p>
    <w:p w:rsidR="00887881" w:rsidRPr="00887881" w:rsidRDefault="00887881" w:rsidP="00887881">
      <w:pPr>
        <w:pStyle w:val="af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>В рамках выполнения поручения Губернатора Московской области Андрея Воробьева специалисты областного министерства энергетики посетили с визитами и провели анализ состояния  систем уличного освещения в военных городках, передаваемых на баланс муниципальных образований из Министерства обороны РФ, в которых требуется восстановление электросетевого оборудования, в том числе и уличного освещения. </w:t>
      </w: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>Всего таких городков 11 и расположены они в Клинском, Ленинском, Ногинском, Одинцовском, Сергиево-Посадском, Истринском, Пушкинском и Щелковском районах области. </w:t>
      </w: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>Дорожные карты по организации уличного освещения прошли общественные слушания, поэтому, все мероприятия учитывают, прежде всего, пожелания самих жителей военных городков.</w:t>
      </w: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>«Для приведения систем наружного освещения в исправное состояние необходимо восстановить 1411 светильников, 1160 опор освещения и произвести прокладку более 40 км самонесущего изолированного провода», – отметил министр энергетики Московской области Леонид Неганов.</w:t>
      </w:r>
    </w:p>
    <w:p w:rsidR="00887881" w:rsidRPr="00887881" w:rsidRDefault="00887881" w:rsidP="00887881">
      <w:pPr>
        <w:spacing w:line="240" w:lineRule="auto"/>
        <w:ind w:firstLine="851"/>
        <w:jc w:val="both"/>
        <w:textAlignment w:val="baseline"/>
        <w:rPr>
          <w:rFonts w:eastAsia="Times New Roman" w:cs="Times New Roman"/>
          <w:color w:val="222222"/>
          <w:szCs w:val="28"/>
          <w:lang w:eastAsia="ru-RU"/>
        </w:rPr>
      </w:pPr>
      <w:r w:rsidRPr="00887881">
        <w:rPr>
          <w:rFonts w:eastAsia="Times New Roman" w:cs="Times New Roman"/>
          <w:color w:val="222222"/>
          <w:szCs w:val="28"/>
          <w:lang w:eastAsia="ru-RU"/>
        </w:rPr>
        <w:t>Ориентировочный объем финансирования указанных мероприятий по данным администраций муниципальных образований составит порядка 44,3 млн. рублей. Вопрос о выделении средств в рамках субсидий из областного бюджета на восстановление объектов инженерной инфраструктуры военных городков в 2016 году решен положительно. </w:t>
      </w:r>
    </w:p>
    <w:p w:rsidR="00887881" w:rsidRPr="00887881" w:rsidRDefault="00887881" w:rsidP="00887881">
      <w:pPr>
        <w:pStyle w:val="af2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7D124E" w:rsidRPr="00887881" w:rsidRDefault="007D124E" w:rsidP="00887881">
      <w:pPr>
        <w:tabs>
          <w:tab w:val="left" w:pos="1755"/>
        </w:tabs>
        <w:spacing w:line="240" w:lineRule="auto"/>
        <w:ind w:firstLine="851"/>
        <w:jc w:val="both"/>
        <w:rPr>
          <w:rFonts w:cs="Times New Roman"/>
          <w:szCs w:val="28"/>
        </w:rPr>
      </w:pPr>
    </w:p>
    <w:sectPr w:rsidR="007D124E" w:rsidRPr="00887881" w:rsidSect="00C63CF9">
      <w:head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B0" w:rsidRDefault="00137BB0" w:rsidP="00750CCF">
      <w:pPr>
        <w:spacing w:line="240" w:lineRule="auto"/>
      </w:pPr>
      <w:r>
        <w:separator/>
      </w:r>
    </w:p>
  </w:endnote>
  <w:endnote w:type="continuationSeparator" w:id="0">
    <w:p w:rsidR="00137BB0" w:rsidRDefault="00137BB0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B0" w:rsidRDefault="00137BB0" w:rsidP="00750CCF">
      <w:pPr>
        <w:spacing w:line="240" w:lineRule="auto"/>
      </w:pPr>
      <w:r>
        <w:separator/>
      </w:r>
    </w:p>
  </w:footnote>
  <w:footnote w:type="continuationSeparator" w:id="0">
    <w:p w:rsidR="00137BB0" w:rsidRDefault="00137BB0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386139"/>
      <w:docPartObj>
        <w:docPartGallery w:val="Page Numbers (Top of Page)"/>
        <w:docPartUnique/>
      </w:docPartObj>
    </w:sdtPr>
    <w:sdtEndPr/>
    <w:sdtContent>
      <w:p w:rsidR="002951A6" w:rsidRDefault="002951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C6">
          <w:rPr>
            <w:noProof/>
          </w:rPr>
          <w:t>4</w:t>
        </w:r>
        <w:r>
          <w:fldChar w:fldCharType="end"/>
        </w:r>
      </w:p>
    </w:sdtContent>
  </w:sdt>
  <w:p w:rsidR="002951A6" w:rsidRDefault="002951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774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996"/>
    <w:multiLevelType w:val="hybridMultilevel"/>
    <w:tmpl w:val="A49C97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129C"/>
    <w:multiLevelType w:val="hybridMultilevel"/>
    <w:tmpl w:val="4918B11A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D00"/>
    <w:multiLevelType w:val="hybridMultilevel"/>
    <w:tmpl w:val="0EAC2F8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63A"/>
    <w:multiLevelType w:val="hybridMultilevel"/>
    <w:tmpl w:val="6E16DDFC"/>
    <w:lvl w:ilvl="0" w:tplc="13D2E1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E3326C"/>
    <w:multiLevelType w:val="hybridMultilevel"/>
    <w:tmpl w:val="49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45AE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F03276"/>
    <w:multiLevelType w:val="hybridMultilevel"/>
    <w:tmpl w:val="2B1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032CC"/>
    <w:multiLevelType w:val="hybridMultilevel"/>
    <w:tmpl w:val="FD2069A0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6181"/>
    <w:multiLevelType w:val="hybridMultilevel"/>
    <w:tmpl w:val="C9CE8088"/>
    <w:lvl w:ilvl="0" w:tplc="E6D40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21031"/>
    <w:multiLevelType w:val="hybridMultilevel"/>
    <w:tmpl w:val="B3A2FB48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122FD"/>
    <w:multiLevelType w:val="hybridMultilevel"/>
    <w:tmpl w:val="0738609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A674E"/>
    <w:multiLevelType w:val="hybridMultilevel"/>
    <w:tmpl w:val="F182C6A6"/>
    <w:lvl w:ilvl="0" w:tplc="F282F9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82F9E0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8050C"/>
    <w:multiLevelType w:val="hybridMultilevel"/>
    <w:tmpl w:val="97DEC15C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46369"/>
    <w:multiLevelType w:val="hybridMultilevel"/>
    <w:tmpl w:val="A89287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EA7590"/>
    <w:multiLevelType w:val="multilevel"/>
    <w:tmpl w:val="37AC5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2EBA"/>
    <w:multiLevelType w:val="hybridMultilevel"/>
    <w:tmpl w:val="9118EDB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33FFA"/>
    <w:multiLevelType w:val="hybridMultilevel"/>
    <w:tmpl w:val="20AE1E5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0199A"/>
    <w:multiLevelType w:val="hybridMultilevel"/>
    <w:tmpl w:val="E0C8FE94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A2680"/>
    <w:multiLevelType w:val="hybridMultilevel"/>
    <w:tmpl w:val="7F7AFA4E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F2AB5"/>
    <w:multiLevelType w:val="hybridMultilevel"/>
    <w:tmpl w:val="2AE27582"/>
    <w:lvl w:ilvl="0" w:tplc="7042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10702"/>
    <w:multiLevelType w:val="hybridMultilevel"/>
    <w:tmpl w:val="F90CF854"/>
    <w:lvl w:ilvl="0" w:tplc="E6D4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21"/>
  </w:num>
  <w:num w:numId="8">
    <w:abstractNumId w:val="20"/>
  </w:num>
  <w:num w:numId="9">
    <w:abstractNumId w:val="2"/>
  </w:num>
  <w:num w:numId="10">
    <w:abstractNumId w:val="22"/>
  </w:num>
  <w:num w:numId="11">
    <w:abstractNumId w:val="1"/>
  </w:num>
  <w:num w:numId="12">
    <w:abstractNumId w:val="9"/>
  </w:num>
  <w:num w:numId="13">
    <w:abstractNumId w:val="14"/>
  </w:num>
  <w:num w:numId="14">
    <w:abstractNumId w:val="19"/>
  </w:num>
  <w:num w:numId="15">
    <w:abstractNumId w:val="23"/>
  </w:num>
  <w:num w:numId="16">
    <w:abstractNumId w:val="11"/>
  </w:num>
  <w:num w:numId="17">
    <w:abstractNumId w:val="3"/>
  </w:num>
  <w:num w:numId="18">
    <w:abstractNumId w:val="6"/>
  </w:num>
  <w:num w:numId="19">
    <w:abstractNumId w:val="24"/>
  </w:num>
  <w:num w:numId="20">
    <w:abstractNumId w:val="10"/>
  </w:num>
  <w:num w:numId="21">
    <w:abstractNumId w:val="0"/>
  </w:num>
  <w:num w:numId="22">
    <w:abstractNumId w:val="18"/>
  </w:num>
  <w:num w:numId="23">
    <w:abstractNumId w:val="13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DD"/>
    <w:rsid w:val="00005251"/>
    <w:rsid w:val="000172F8"/>
    <w:rsid w:val="000202F3"/>
    <w:rsid w:val="000278D4"/>
    <w:rsid w:val="0004333E"/>
    <w:rsid w:val="00050101"/>
    <w:rsid w:val="000569DA"/>
    <w:rsid w:val="00065C34"/>
    <w:rsid w:val="00066A9E"/>
    <w:rsid w:val="00082CE0"/>
    <w:rsid w:val="00096CE6"/>
    <w:rsid w:val="000C1881"/>
    <w:rsid w:val="000C4793"/>
    <w:rsid w:val="000D172B"/>
    <w:rsid w:val="000D352B"/>
    <w:rsid w:val="000D5827"/>
    <w:rsid w:val="00106D87"/>
    <w:rsid w:val="0011750D"/>
    <w:rsid w:val="001204E4"/>
    <w:rsid w:val="00137BB0"/>
    <w:rsid w:val="00147550"/>
    <w:rsid w:val="00170D9A"/>
    <w:rsid w:val="00172B45"/>
    <w:rsid w:val="00190B2E"/>
    <w:rsid w:val="001A4CCD"/>
    <w:rsid w:val="001B0781"/>
    <w:rsid w:val="001B2C5F"/>
    <w:rsid w:val="001B5D7F"/>
    <w:rsid w:val="001C565A"/>
    <w:rsid w:val="001D1CB2"/>
    <w:rsid w:val="001D2A5E"/>
    <w:rsid w:val="001D3186"/>
    <w:rsid w:val="001F4C41"/>
    <w:rsid w:val="00210B78"/>
    <w:rsid w:val="00234B81"/>
    <w:rsid w:val="002440D1"/>
    <w:rsid w:val="002454F8"/>
    <w:rsid w:val="00252A29"/>
    <w:rsid w:val="00265CCB"/>
    <w:rsid w:val="00282EBA"/>
    <w:rsid w:val="00283C64"/>
    <w:rsid w:val="00291175"/>
    <w:rsid w:val="00293961"/>
    <w:rsid w:val="002951A6"/>
    <w:rsid w:val="002A0DD0"/>
    <w:rsid w:val="002A5808"/>
    <w:rsid w:val="002B2DDD"/>
    <w:rsid w:val="002B34E7"/>
    <w:rsid w:val="0031246E"/>
    <w:rsid w:val="00327707"/>
    <w:rsid w:val="003321FD"/>
    <w:rsid w:val="0033407D"/>
    <w:rsid w:val="00334B86"/>
    <w:rsid w:val="0033737F"/>
    <w:rsid w:val="00352B74"/>
    <w:rsid w:val="003566B6"/>
    <w:rsid w:val="003617A4"/>
    <w:rsid w:val="003766E4"/>
    <w:rsid w:val="0038790E"/>
    <w:rsid w:val="0039004C"/>
    <w:rsid w:val="00396824"/>
    <w:rsid w:val="003976E7"/>
    <w:rsid w:val="003A5712"/>
    <w:rsid w:val="003A69FA"/>
    <w:rsid w:val="003B72A5"/>
    <w:rsid w:val="003C4CD4"/>
    <w:rsid w:val="003C7D25"/>
    <w:rsid w:val="003D6021"/>
    <w:rsid w:val="003E1441"/>
    <w:rsid w:val="003E5E56"/>
    <w:rsid w:val="003E6623"/>
    <w:rsid w:val="003F2D79"/>
    <w:rsid w:val="003F551C"/>
    <w:rsid w:val="00451021"/>
    <w:rsid w:val="004525E0"/>
    <w:rsid w:val="0045269B"/>
    <w:rsid w:val="00452D0B"/>
    <w:rsid w:val="004A3D55"/>
    <w:rsid w:val="004D52B7"/>
    <w:rsid w:val="004D5C66"/>
    <w:rsid w:val="004E1476"/>
    <w:rsid w:val="004E1B7D"/>
    <w:rsid w:val="004F71DD"/>
    <w:rsid w:val="004F759F"/>
    <w:rsid w:val="00513B25"/>
    <w:rsid w:val="00516087"/>
    <w:rsid w:val="005173CF"/>
    <w:rsid w:val="0052285A"/>
    <w:rsid w:val="0053268D"/>
    <w:rsid w:val="00536950"/>
    <w:rsid w:val="005415A5"/>
    <w:rsid w:val="0055401D"/>
    <w:rsid w:val="00560A71"/>
    <w:rsid w:val="00562837"/>
    <w:rsid w:val="0058707C"/>
    <w:rsid w:val="00592579"/>
    <w:rsid w:val="00597E37"/>
    <w:rsid w:val="00597F44"/>
    <w:rsid w:val="005A63EA"/>
    <w:rsid w:val="005B4D22"/>
    <w:rsid w:val="00624214"/>
    <w:rsid w:val="00635418"/>
    <w:rsid w:val="006574C9"/>
    <w:rsid w:val="00657CBF"/>
    <w:rsid w:val="00660D24"/>
    <w:rsid w:val="00696CB5"/>
    <w:rsid w:val="006A24C9"/>
    <w:rsid w:val="006A48A1"/>
    <w:rsid w:val="006A5448"/>
    <w:rsid w:val="006D3511"/>
    <w:rsid w:val="00701773"/>
    <w:rsid w:val="00701C19"/>
    <w:rsid w:val="00727666"/>
    <w:rsid w:val="00733460"/>
    <w:rsid w:val="00733718"/>
    <w:rsid w:val="007427E9"/>
    <w:rsid w:val="00750CCF"/>
    <w:rsid w:val="00754438"/>
    <w:rsid w:val="0076730F"/>
    <w:rsid w:val="00784423"/>
    <w:rsid w:val="007D124E"/>
    <w:rsid w:val="007D1D0A"/>
    <w:rsid w:val="007D1E03"/>
    <w:rsid w:val="007E2275"/>
    <w:rsid w:val="007F2EDF"/>
    <w:rsid w:val="007F7664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57137"/>
    <w:rsid w:val="00866467"/>
    <w:rsid w:val="00886150"/>
    <w:rsid w:val="00886A6B"/>
    <w:rsid w:val="00887881"/>
    <w:rsid w:val="00896250"/>
    <w:rsid w:val="008967A9"/>
    <w:rsid w:val="008978DF"/>
    <w:rsid w:val="00897A9A"/>
    <w:rsid w:val="008B33AF"/>
    <w:rsid w:val="008D2553"/>
    <w:rsid w:val="008D5698"/>
    <w:rsid w:val="00900FE9"/>
    <w:rsid w:val="00937D50"/>
    <w:rsid w:val="00957B95"/>
    <w:rsid w:val="009657E9"/>
    <w:rsid w:val="009677E7"/>
    <w:rsid w:val="0097252E"/>
    <w:rsid w:val="00975919"/>
    <w:rsid w:val="00976D63"/>
    <w:rsid w:val="00976EFE"/>
    <w:rsid w:val="009951DA"/>
    <w:rsid w:val="00995A29"/>
    <w:rsid w:val="00996825"/>
    <w:rsid w:val="009B1AF2"/>
    <w:rsid w:val="009C567F"/>
    <w:rsid w:val="009D5CB5"/>
    <w:rsid w:val="009E7990"/>
    <w:rsid w:val="009F501D"/>
    <w:rsid w:val="009F5350"/>
    <w:rsid w:val="00A06A12"/>
    <w:rsid w:val="00A2535A"/>
    <w:rsid w:val="00A44FED"/>
    <w:rsid w:val="00A5495D"/>
    <w:rsid w:val="00A941D0"/>
    <w:rsid w:val="00A94599"/>
    <w:rsid w:val="00A973FC"/>
    <w:rsid w:val="00AB07EE"/>
    <w:rsid w:val="00AC5F2E"/>
    <w:rsid w:val="00AD6291"/>
    <w:rsid w:val="00AE20BB"/>
    <w:rsid w:val="00AE4417"/>
    <w:rsid w:val="00AE6496"/>
    <w:rsid w:val="00AF1256"/>
    <w:rsid w:val="00B06EC6"/>
    <w:rsid w:val="00B158D0"/>
    <w:rsid w:val="00B22BDB"/>
    <w:rsid w:val="00B47CB0"/>
    <w:rsid w:val="00B53622"/>
    <w:rsid w:val="00B62989"/>
    <w:rsid w:val="00BA0B34"/>
    <w:rsid w:val="00BA3184"/>
    <w:rsid w:val="00BB0F40"/>
    <w:rsid w:val="00BC2566"/>
    <w:rsid w:val="00BC6990"/>
    <w:rsid w:val="00BE0AAC"/>
    <w:rsid w:val="00BE14B7"/>
    <w:rsid w:val="00BE28CB"/>
    <w:rsid w:val="00C061FA"/>
    <w:rsid w:val="00C135E4"/>
    <w:rsid w:val="00C1576C"/>
    <w:rsid w:val="00C32770"/>
    <w:rsid w:val="00C414AF"/>
    <w:rsid w:val="00C43D12"/>
    <w:rsid w:val="00C63CF9"/>
    <w:rsid w:val="00C641E1"/>
    <w:rsid w:val="00C6580E"/>
    <w:rsid w:val="00C65BD6"/>
    <w:rsid w:val="00C67ACD"/>
    <w:rsid w:val="00CB16BB"/>
    <w:rsid w:val="00CB2B92"/>
    <w:rsid w:val="00CD3B63"/>
    <w:rsid w:val="00CD7937"/>
    <w:rsid w:val="00CE7365"/>
    <w:rsid w:val="00D07237"/>
    <w:rsid w:val="00D23544"/>
    <w:rsid w:val="00D32183"/>
    <w:rsid w:val="00D33CA9"/>
    <w:rsid w:val="00D410E5"/>
    <w:rsid w:val="00D41F9E"/>
    <w:rsid w:val="00D518D3"/>
    <w:rsid w:val="00D5299E"/>
    <w:rsid w:val="00D52CD0"/>
    <w:rsid w:val="00D55C59"/>
    <w:rsid w:val="00D6103D"/>
    <w:rsid w:val="00D71CFF"/>
    <w:rsid w:val="00D80B0A"/>
    <w:rsid w:val="00D861BA"/>
    <w:rsid w:val="00D93D22"/>
    <w:rsid w:val="00DB2CAC"/>
    <w:rsid w:val="00DC543C"/>
    <w:rsid w:val="00DD0156"/>
    <w:rsid w:val="00E2275B"/>
    <w:rsid w:val="00E2646D"/>
    <w:rsid w:val="00E322D9"/>
    <w:rsid w:val="00E71E11"/>
    <w:rsid w:val="00E72AA1"/>
    <w:rsid w:val="00E73FAE"/>
    <w:rsid w:val="00E81AD7"/>
    <w:rsid w:val="00E85A97"/>
    <w:rsid w:val="00E978A9"/>
    <w:rsid w:val="00ED031F"/>
    <w:rsid w:val="00ED12BE"/>
    <w:rsid w:val="00EF783D"/>
    <w:rsid w:val="00F20A3E"/>
    <w:rsid w:val="00F224A4"/>
    <w:rsid w:val="00F35C46"/>
    <w:rsid w:val="00F463E8"/>
    <w:rsid w:val="00F62F73"/>
    <w:rsid w:val="00F63C1D"/>
    <w:rsid w:val="00F64A98"/>
    <w:rsid w:val="00F90858"/>
    <w:rsid w:val="00F90F7E"/>
    <w:rsid w:val="00FA2DAC"/>
    <w:rsid w:val="00FB17C2"/>
    <w:rsid w:val="00FB2A52"/>
    <w:rsid w:val="00FC314D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E198"/>
  <w15:docId w15:val="{6F0A786E-DC28-4710-A715-6D157452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6D63"/>
  </w:style>
  <w:style w:type="paragraph" w:styleId="1">
    <w:name w:val="heading 1"/>
    <w:basedOn w:val="a"/>
    <w:link w:val="10"/>
    <w:uiPriority w:val="9"/>
    <w:qFormat/>
    <w:rsid w:val="007544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rsid w:val="00750CCF"/>
  </w:style>
  <w:style w:type="paragraph" w:styleId="ad">
    <w:name w:val="footer"/>
    <w:basedOn w:val="a"/>
    <w:link w:val="ae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rsid w:val="00050101"/>
    <w:rPr>
      <w:color w:val="808080"/>
    </w:rPr>
  </w:style>
  <w:style w:type="character" w:styleId="af1">
    <w:name w:val="Hyperlink"/>
    <w:uiPriority w:val="99"/>
    <w:rsid w:val="0097252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725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4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8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507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79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02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124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650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nergo.mosre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yrkina\AppData\Local\Microsoft\Windows\Temporary%20Internet%20Files\Content.Outlook\0E3FCE9M\&#1041;&#1083;&#1072;&#1085;&#1082;%20&#1087;&#1080;&#1089;&#1100;&#1084;&#1072;%20&#1052;&#1080;&#1085;&#1080;&#1089;&#1090;&#1088;%20&#1101;&#1085;&#1077;&#1088;&#1075;&#1077;&#1090;&#1080;&#1082;&#1080;%20&#1052;&#1054;%20(&#1096;&#1072;&#1073;&#1083;&#1086;&#108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2"/>
    <w:rsid w:val="000A4061"/>
    <w:rsid w:val="00104C7F"/>
    <w:rsid w:val="001568AA"/>
    <w:rsid w:val="00156C74"/>
    <w:rsid w:val="001B0A3B"/>
    <w:rsid w:val="0027243A"/>
    <w:rsid w:val="003B462A"/>
    <w:rsid w:val="004649E8"/>
    <w:rsid w:val="004B502A"/>
    <w:rsid w:val="004F68C2"/>
    <w:rsid w:val="00556C91"/>
    <w:rsid w:val="005E3ECF"/>
    <w:rsid w:val="00731B37"/>
    <w:rsid w:val="00737CB7"/>
    <w:rsid w:val="007C5DDA"/>
    <w:rsid w:val="007C77EA"/>
    <w:rsid w:val="00820BDE"/>
    <w:rsid w:val="008A4717"/>
    <w:rsid w:val="008B394B"/>
    <w:rsid w:val="009D1238"/>
    <w:rsid w:val="00AF1B2E"/>
    <w:rsid w:val="00BD303D"/>
    <w:rsid w:val="00C0380C"/>
    <w:rsid w:val="00DD454E"/>
    <w:rsid w:val="00F11F06"/>
    <w:rsid w:val="00F143C0"/>
    <w:rsid w:val="00F34257"/>
    <w:rsid w:val="00F716DF"/>
    <w:rsid w:val="00FD3695"/>
    <w:rsid w:val="00FE752E"/>
    <w:rsid w:val="00FF5600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257"/>
    <w:rPr>
      <w:color w:val="808080"/>
    </w:rPr>
  </w:style>
  <w:style w:type="paragraph" w:customStyle="1" w:styleId="8DE09517149A4C4594149CE892A8023E">
    <w:name w:val="8DE09517149A4C4594149CE892A8023E"/>
  </w:style>
  <w:style w:type="paragraph" w:customStyle="1" w:styleId="353B562A02DD4ED6B4191F6ED9C7E741">
    <w:name w:val="353B562A02DD4ED6B4191F6ED9C7E741"/>
  </w:style>
  <w:style w:type="paragraph" w:customStyle="1" w:styleId="FC76A82FAA1D43AD9D7DA430BB10DAC4">
    <w:name w:val="FC76A82FAA1D43AD9D7DA430BB10DAC4"/>
  </w:style>
  <w:style w:type="paragraph" w:customStyle="1" w:styleId="CA3225AD9E79472DA7F409E25537F3C9">
    <w:name w:val="CA3225AD9E79472DA7F409E25537F3C9"/>
  </w:style>
  <w:style w:type="paragraph" w:customStyle="1" w:styleId="D327595888F04A408838403B9CA172CC">
    <w:name w:val="D327595888F04A408838403B9CA172CC"/>
  </w:style>
  <w:style w:type="paragraph" w:customStyle="1" w:styleId="C19E37515DD444C1923EF2FF2FC14780">
    <w:name w:val="C19E37515DD444C1923EF2FF2FC14780"/>
  </w:style>
  <w:style w:type="paragraph" w:customStyle="1" w:styleId="C86B63C8FE02429A9BBAE2E4A6B44DFA">
    <w:name w:val="C86B63C8FE02429A9BBAE2E4A6B44DFA"/>
  </w:style>
  <w:style w:type="paragraph" w:customStyle="1" w:styleId="02A0065261EA446A81858727F0182002">
    <w:name w:val="02A0065261EA446A81858727F0182002"/>
    <w:rsid w:val="00F34257"/>
    <w:pPr>
      <w:spacing w:after="160" w:line="259" w:lineRule="auto"/>
    </w:pPr>
  </w:style>
  <w:style w:type="paragraph" w:customStyle="1" w:styleId="DBF4FAD86C5E4FEA826F645465365A60">
    <w:name w:val="DBF4FAD86C5E4FEA826F645465365A60"/>
    <w:rsid w:val="00F34257"/>
    <w:pPr>
      <w:spacing w:after="160" w:line="259" w:lineRule="auto"/>
    </w:pPr>
  </w:style>
  <w:style w:type="paragraph" w:customStyle="1" w:styleId="51157BC4ABF149D595AC59760EE45C64">
    <w:name w:val="51157BC4ABF149D595AC59760EE45C64"/>
    <w:rsid w:val="00F342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8CFC-6102-46E3-BBFC-F6258BB2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Министр энергетики МО (шаблон)</Template>
  <TotalTime>17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На 30% сократилось общее количество технологических нарушений электроснабжения п</vt:lpstr>
      <vt:lpstr/>
      <vt:lpstr>Минэнерго МО внедряет систему тестирования и оценки филиалов «Мособлэнерго»</vt:lpstr>
      <vt:lpstr/>
      <vt:lpstr>Микрорайон «Южный» г.о. Домодедово получит новые мощности</vt:lpstr>
      <vt:lpstr/>
      <vt:lpstr>В Московской области стало на 100 автомобилей больше, использующих газомоторное </vt:lpstr>
      <vt:lpstr/>
      <vt:lpstr>Энергетики Подмосковья продолжают работу по борьбе с энерговоровством</vt:lpstr>
      <vt:lpstr/>
      <vt:lpstr>Процедура размещения объектов электроэнергетики и газоснабжения на землях лесног</vt:lpstr>
      <vt:lpstr/>
    </vt:vector>
  </TitlesOfParts>
  <Company>Hewlett-Packard Company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Тыркина</dc:creator>
  <cp:lastModifiedBy>Юлия Анатольевна Самохина</cp:lastModifiedBy>
  <cp:revision>2</cp:revision>
  <cp:lastPrinted>2016-04-21T12:50:00Z</cp:lastPrinted>
  <dcterms:created xsi:type="dcterms:W3CDTF">2016-07-13T09:28:00Z</dcterms:created>
  <dcterms:modified xsi:type="dcterms:W3CDTF">2016-08-09T08:07:00Z</dcterms:modified>
</cp:coreProperties>
</file>