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87" w:rsidRPr="006574C9" w:rsidRDefault="00106D87" w:rsidP="00106D87">
      <w:pPr>
        <w:ind w:firstLine="708"/>
        <w:jc w:val="both"/>
        <w:rPr>
          <w:szCs w:val="28"/>
        </w:rPr>
      </w:pPr>
    </w:p>
    <w:p w:rsidR="000D5827" w:rsidRDefault="000D5827" w:rsidP="00DB2CAC">
      <w:pPr>
        <w:tabs>
          <w:tab w:val="left" w:pos="1755"/>
        </w:tabs>
      </w:pP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23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по 27 января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bookmarkEnd w:id="0"/>
    <w:p w:rsidR="00DC29E1" w:rsidRDefault="00DC29E1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С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редний срок технологического присоединения к электросетям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в 2016 году 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составил 77 дней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Московской области средний срок технологического присоединения к электрическим сетям объектов мощностью до 150 кВт потребителей, осуществляющих предпринимательскую деятельность, в 2016 году предварительно составил 77 дней. Данный показатель почти в 3 раза меньше аналогичного показателя в 2013 году.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Работа Московской области по эффективности процедур технологического присоединения к электрическим сетям в 2016 году была удостоена высшего балла Национального рейтинга состояния инвестиционного климата в субъектах РФ, который проводит Агентство стратегических инициатив.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«Таких высоких результатов удалось достичь благодаря законодательным инициативам областного министерства энергетики, оптимизации внутренних процедур в сетевых организациях, процедур оформления заявок. Например, в 2016 году 38% заявок на технологическое присоединение поступило через интернет-порталы, в 2017 году планируется увеличить долю заявок, поданных с использованием электронных сервисов до 50%», – сказал министр энергетики Московской области Леонид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Кроме того, в 2016 году впервые была опробована подача заявки на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техприсоединение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через многофункциональные центры. Пилотный проект стартовал на базе МФЦ Пушкинского района. В 2017 году планируется обеспечить возможность заключения договоров на технологическое присоединение через другие МФЦ.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0A550D" w:rsidRPr="000A550D" w:rsidRDefault="000A550D" w:rsidP="000A550D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0A550D">
        <w:rPr>
          <w:bCs w:val="0"/>
          <w:color w:val="222222"/>
          <w:sz w:val="28"/>
          <w:szCs w:val="28"/>
        </w:rPr>
        <w:t xml:space="preserve">В 2017 году в Подмосковье будет реализован крупнейший в РФ проект по созданию </w:t>
      </w:r>
      <w:proofErr w:type="spellStart"/>
      <w:r w:rsidRPr="000A550D">
        <w:rPr>
          <w:bCs w:val="0"/>
          <w:color w:val="222222"/>
          <w:sz w:val="28"/>
          <w:szCs w:val="28"/>
        </w:rPr>
        <w:t>электрозарядной</w:t>
      </w:r>
      <w:proofErr w:type="spellEnd"/>
      <w:r w:rsidRPr="000A550D">
        <w:rPr>
          <w:bCs w:val="0"/>
          <w:color w:val="222222"/>
          <w:sz w:val="28"/>
          <w:szCs w:val="28"/>
        </w:rPr>
        <w:t xml:space="preserve"> инфраструктуры</w:t>
      </w:r>
    </w:p>
    <w:p w:rsidR="000A550D" w:rsidRPr="000A550D" w:rsidRDefault="000A550D" w:rsidP="000A550D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В 2017 году в Московской области планируется построить 65 объектов топливозаправочного комплекса. Не менее 40 из них будут объекты </w:t>
      </w:r>
      <w:proofErr w:type="spellStart"/>
      <w:r w:rsidRPr="000A550D">
        <w:rPr>
          <w:color w:val="222222"/>
          <w:sz w:val="28"/>
          <w:szCs w:val="28"/>
        </w:rPr>
        <w:t>электрозарядной</w:t>
      </w:r>
      <w:proofErr w:type="spellEnd"/>
      <w:r w:rsidRPr="000A550D">
        <w:rPr>
          <w:color w:val="222222"/>
          <w:sz w:val="28"/>
          <w:szCs w:val="28"/>
        </w:rPr>
        <w:t xml:space="preserve"> инфраструктуры.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Зарядные станции для электромобилей будут размещены на парковках торговых центров, топливозаправочных комплексах и вблизи объектов культурного и исторического наследия. Это крупнейший в РФ проект по созданию единой сети </w:t>
      </w:r>
      <w:proofErr w:type="spellStart"/>
      <w:r w:rsidRPr="000A550D">
        <w:rPr>
          <w:color w:val="222222"/>
          <w:sz w:val="28"/>
          <w:szCs w:val="28"/>
        </w:rPr>
        <w:t>электрозарядных</w:t>
      </w:r>
      <w:proofErr w:type="spellEnd"/>
      <w:r w:rsidRPr="000A550D">
        <w:rPr>
          <w:color w:val="222222"/>
          <w:sz w:val="28"/>
          <w:szCs w:val="28"/>
        </w:rPr>
        <w:t xml:space="preserve"> станций.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 xml:space="preserve">«В настоящее время общемировым трендом является развитие высокотехнологичных и экологичных видов транспорта, в том числе электротранспорта, что способствует уменьшению выбросов углекислого газа, </w:t>
      </w:r>
      <w:r w:rsidRPr="000A550D">
        <w:rPr>
          <w:color w:val="222222"/>
          <w:sz w:val="28"/>
          <w:szCs w:val="28"/>
        </w:rPr>
        <w:lastRenderedPageBreak/>
        <w:t xml:space="preserve">шумовой нагрузки, загрязнения воздуха», – сказал министр энергетики Московской области Леонид </w:t>
      </w:r>
      <w:proofErr w:type="spellStart"/>
      <w:r w:rsidRPr="000A550D">
        <w:rPr>
          <w:color w:val="222222"/>
          <w:sz w:val="28"/>
          <w:szCs w:val="28"/>
        </w:rPr>
        <w:t>Неганов</w:t>
      </w:r>
      <w:proofErr w:type="spellEnd"/>
      <w:r w:rsidRPr="000A550D">
        <w:rPr>
          <w:color w:val="222222"/>
          <w:sz w:val="28"/>
          <w:szCs w:val="28"/>
        </w:rPr>
        <w:t>. </w:t>
      </w:r>
    </w:p>
    <w:p w:rsid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0A550D">
        <w:rPr>
          <w:color w:val="222222"/>
          <w:sz w:val="28"/>
          <w:szCs w:val="28"/>
        </w:rPr>
        <w:t>В 2016 году в Подмосковье дополнительно к уже имеющимся 1400 традиционным автозаправочным комплексам, в рамках реализации проекта «Инфраструктура электротранспорта», была построена 21 зарядная станция для электрокаров. </w:t>
      </w:r>
    </w:p>
    <w:p w:rsidR="000A550D" w:rsidRPr="000A550D" w:rsidRDefault="000A550D" w:rsidP="000A550D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Б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олее 3220 га просек линий электропередачи расчистят энергетики в Московской области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в</w:t>
      </w: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2017 году 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2017 году специалисты крупнейших электросетевых компаний Московской области – ПАО «МОЭСК» и АО «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» – планируют расчистить от древесно-кустарниковой растительности более 3220 гектар просек воздушных линий электропередачи.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«Расчистку и расширение просек энергетики проводят ежегодно. Это является неотъемлемой частью ремонтных программ электросетевых компаний, так как деревья, растущие на границе просеки, могут стать причиной нарушений энергоснабжения потребителей, возникновения пожаров и травматизма людей», – сказал министр энергетики Московской области Леонид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  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Особенно высок риск падения деревьев на линии электропередачи при неблагоприятных погодных условиях – ледяном дожде, сильном порывистом ветре и обильных снегопадах. Проводимые работы позволяют избежать случаев падения деревьев на ЛЭП и последующего возможного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обесточения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потребителей.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Накануне алгоритм проведения данных работ был продемонстрирован специалистами ПАО «МОЭСК» на примере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г.о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. Домодедово. По заявке администрации территориальных отделов микрорайонов Авиационный и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Востряково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была проведена опиловка угрожающих деревьев и расчистка от древесно-кустарниковой растительности воздушной линии 10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кВ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, проходящей по п.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Востряково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Мероприятия по расчистке трасс линий ЛЭП обязательно согласуются с региональными организациями, отвечающими за экологический надзор и контроль.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0A550D">
        <w:rPr>
          <w:rFonts w:eastAsia="Times New Roman" w:cs="Times New Roman"/>
          <w:b/>
          <w:color w:val="222222"/>
          <w:kern w:val="36"/>
          <w:szCs w:val="28"/>
          <w:lang w:eastAsia="ru-RU"/>
        </w:rPr>
        <w:t>Новое освещение снизит аварийность на 24 участках автомобильных дорог в Подмосковье</w:t>
      </w:r>
    </w:p>
    <w:p w:rsidR="000A550D" w:rsidRPr="000A550D" w:rsidRDefault="000A550D" w:rsidP="000A550D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2016 году Министерство энергетики Московской области совместно с Главным управлением дорожного хозяйства Московской области выявили в 12 муниципальных образованиях Подмосковья 24 участка автомобильных дорог с повышенной аварийностью. Общая протяженность участков составила 31,5 километра. На всех дорогах выявлены зоны с отсутствием освещения. 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Одним из наиболее проблемных участков является участок Пятницкого шоссе в Солнечногорском районе. Там выявлено 6 зон с отсутствием освещения общей протяженностью 8,6 километров. Вторым аварийным районом является Одинцовский </w:t>
      </w:r>
      <w:r w:rsidRPr="000A550D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– два аварийных участка протяженностью 6,2 километра выявили на Можайском шоссе вблизи города Кубинка и вдоль деревень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Крутицы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 и Наро-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Осаново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В настоящее время на всех выявленных участках установлены и успешно эксплуатируются новые системы наружного освещения, которые являются энергоэффективными, качественными, безопасными и несложными в эксплуатации.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>Главной целью проводимой работы является снижение смертности от ДТП на дорогах Подмосковья. В 2016 году удалось снизить показатель смертности в результате ДТП до 16,1 погибших на 100 тыс. населения при запланированном показателе – 16,4.</w:t>
      </w:r>
    </w:p>
    <w:p w:rsidR="000A550D" w:rsidRPr="000A550D" w:rsidRDefault="000A550D" w:rsidP="000A550D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0A550D">
        <w:rPr>
          <w:rFonts w:eastAsia="Times New Roman" w:cs="Times New Roman"/>
          <w:color w:val="222222"/>
          <w:szCs w:val="28"/>
          <w:lang w:eastAsia="ru-RU"/>
        </w:rPr>
        <w:t xml:space="preserve">«Освещение на дорогах позволит сократить количество ДТП на аварийных участках, укажет направление движения и одновременно выделит такие важные участки, как пешеходные переходы, перекрестки, где требуется повышенное внимание участников дорожного движения. В 2017 году в Подмосковье планируется строительство новых линий наружного освещения, протяженностью 500 км», – сказал министр энергетики Московской области Леонид </w:t>
      </w:r>
      <w:proofErr w:type="spellStart"/>
      <w:r w:rsidRPr="000A550D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0A550D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8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F9" w:rsidRDefault="00861EF9" w:rsidP="00750CCF">
      <w:pPr>
        <w:spacing w:line="240" w:lineRule="auto"/>
      </w:pPr>
      <w:r>
        <w:separator/>
      </w:r>
    </w:p>
  </w:endnote>
  <w:endnote w:type="continuationSeparator" w:id="0">
    <w:p w:rsidR="00861EF9" w:rsidRDefault="00861EF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F9" w:rsidRDefault="00861EF9" w:rsidP="00750CCF">
      <w:pPr>
        <w:spacing w:line="240" w:lineRule="auto"/>
      </w:pPr>
      <w:r>
        <w:separator/>
      </w:r>
    </w:p>
  </w:footnote>
  <w:footnote w:type="continuationSeparator" w:id="0">
    <w:p w:rsidR="00861EF9" w:rsidRDefault="00861EF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16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4616A"/>
    <w:rsid w:val="00050101"/>
    <w:rsid w:val="000569DA"/>
    <w:rsid w:val="00065C34"/>
    <w:rsid w:val="00066A9E"/>
    <w:rsid w:val="00082CE0"/>
    <w:rsid w:val="00096CE6"/>
    <w:rsid w:val="000A550D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26D73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1EF9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2998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2B1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3EA9D"/>
  <w15:docId w15:val="{1908F67A-01F2-4DF5-85A8-E414D16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07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B462A"/>
    <w:rsid w:val="003E6127"/>
    <w:rsid w:val="003F3C5C"/>
    <w:rsid w:val="004649E8"/>
    <w:rsid w:val="00473A4C"/>
    <w:rsid w:val="004B502A"/>
    <w:rsid w:val="004F68C2"/>
    <w:rsid w:val="00556C91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F1B2E"/>
    <w:rsid w:val="00B261D0"/>
    <w:rsid w:val="00B87CFA"/>
    <w:rsid w:val="00BD303D"/>
    <w:rsid w:val="00C0380C"/>
    <w:rsid w:val="00C141E2"/>
    <w:rsid w:val="00C61E7B"/>
    <w:rsid w:val="00D26934"/>
    <w:rsid w:val="00DD454E"/>
    <w:rsid w:val="00F11F06"/>
    <w:rsid w:val="00F1230F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8A1D-E4C4-46FE-976A-0FBF7FC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4</cp:revision>
  <cp:lastPrinted>2016-04-21T12:50:00Z</cp:lastPrinted>
  <dcterms:created xsi:type="dcterms:W3CDTF">2017-02-02T06:32:00Z</dcterms:created>
  <dcterms:modified xsi:type="dcterms:W3CDTF">2017-02-02T06:43:00Z</dcterms:modified>
</cp:coreProperties>
</file>